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73" w:rsidRPr="00C44365" w:rsidRDefault="00737673" w:rsidP="00737673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  <w:r w:rsidRPr="001736C8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8FD681A" wp14:editId="6C8F7B98">
            <wp:simplePos x="0" y="0"/>
            <wp:positionH relativeFrom="column">
              <wp:posOffset>2515870</wp:posOffset>
            </wp:positionH>
            <wp:positionV relativeFrom="paragraph">
              <wp:posOffset>132080</wp:posOffset>
            </wp:positionV>
            <wp:extent cx="704850" cy="895350"/>
            <wp:effectExtent l="0" t="0" r="0" b="0"/>
            <wp:wrapSquare wrapText="bothSides"/>
            <wp:docPr id="2" name="Imagine 2" descr="Descriere: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escriere: sea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9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:rsidR="00737673" w:rsidRPr="00C44365" w:rsidRDefault="00737673" w:rsidP="00737673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737673" w:rsidRPr="00C44365" w:rsidRDefault="00737673" w:rsidP="007376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REPUBLICA                              MOLDOVA</w:t>
      </w:r>
    </w:p>
    <w:p w:rsidR="00737673" w:rsidRPr="00C44365" w:rsidRDefault="00737673" w:rsidP="00737673">
      <w:pPr>
        <w:rPr>
          <w:rFonts w:ascii="Times New Roman" w:eastAsia="Times New Roman" w:hAnsi="Times New Roman" w:cs="Times New Roman"/>
          <w:b/>
          <w:lang w:val="en-US"/>
        </w:rPr>
      </w:pPr>
      <w:r w:rsidRPr="00C44365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RAIONUL                                          STRĂŞENI </w:t>
      </w:r>
    </w:p>
    <w:p w:rsidR="00737673" w:rsidRPr="00C44365" w:rsidRDefault="00737673" w:rsidP="00737673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CONSILIU</w:t>
      </w:r>
      <w:r w:rsidRPr="00C44365">
        <w:rPr>
          <w:rFonts w:ascii="Times New Roman" w:eastAsia="Times New Roman" w:hAnsi="Times New Roman" w:cs="Times New Roman"/>
          <w:b/>
          <w:lang w:val="en-US"/>
        </w:rPr>
        <w:t xml:space="preserve">     COMUNEI         PĂNĂŞEŞTI</w:t>
      </w:r>
    </w:p>
    <w:p w:rsidR="00737673" w:rsidRPr="00C44365" w:rsidRDefault="00737673" w:rsidP="007376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530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MD-3725, </w:t>
      </w:r>
      <w:proofErr w:type="spellStart"/>
      <w:r w:rsidRPr="00345304">
        <w:rPr>
          <w:rFonts w:ascii="Times New Roman" w:eastAsia="Times New Roman" w:hAnsi="Times New Roman" w:cs="Times New Roman"/>
          <w:sz w:val="20"/>
          <w:szCs w:val="20"/>
          <w:lang w:val="en-US"/>
        </w:rPr>
        <w:t>rn.Străşeni</w:t>
      </w:r>
      <w:proofErr w:type="spellEnd"/>
      <w:r w:rsidRPr="0034530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45304">
        <w:rPr>
          <w:rFonts w:ascii="Times New Roman" w:eastAsia="Times New Roman" w:hAnsi="Times New Roman" w:cs="Times New Roman"/>
          <w:sz w:val="20"/>
          <w:szCs w:val="20"/>
          <w:lang w:val="en-US"/>
        </w:rPr>
        <w:t>com.Pănăşeşti</w:t>
      </w:r>
      <w:proofErr w:type="spellEnd"/>
      <w:r w:rsidRPr="0034530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str. </w:t>
      </w:r>
      <w:proofErr w:type="spellStart"/>
      <w:proofErr w:type="gramStart"/>
      <w:r w:rsidRPr="00C44365">
        <w:rPr>
          <w:rFonts w:ascii="Times New Roman" w:eastAsia="Times New Roman" w:hAnsi="Times New Roman" w:cs="Times New Roman"/>
          <w:sz w:val="20"/>
          <w:szCs w:val="20"/>
          <w:lang w:val="en-US"/>
        </w:rPr>
        <w:t>Ştefan</w:t>
      </w:r>
      <w:proofErr w:type="spellEnd"/>
      <w:proofErr w:type="gramEnd"/>
      <w:r w:rsidRPr="00C4436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44365">
        <w:rPr>
          <w:rFonts w:ascii="Times New Roman" w:eastAsia="Times New Roman" w:hAnsi="Times New Roman" w:cs="Times New Roman"/>
          <w:sz w:val="20"/>
          <w:szCs w:val="20"/>
          <w:lang w:val="en-US"/>
        </w:rPr>
        <w:t>cel</w:t>
      </w:r>
      <w:proofErr w:type="spellEnd"/>
      <w:r w:rsidRPr="00C4436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Mare-53,tel.023777236,e-mail:v.bujor@mail.ru</w:t>
      </w:r>
    </w:p>
    <w:p w:rsidR="00737673" w:rsidRPr="00A901AB" w:rsidRDefault="00737673" w:rsidP="0073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A901A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737673" w:rsidRPr="00A901AB" w:rsidRDefault="00737673" w:rsidP="00737673">
      <w:pPr>
        <w:jc w:val="right"/>
        <w:rPr>
          <w:rFonts w:ascii="Times New Roman" w:hAnsi="Times New Roman" w:cs="Times New Roman"/>
          <w:b/>
          <w:lang w:val="en-US"/>
        </w:rPr>
      </w:pPr>
      <w:r w:rsidRPr="00A901AB">
        <w:rPr>
          <w:rFonts w:ascii="Times New Roman" w:hAnsi="Times New Roman" w:cs="Times New Roman"/>
          <w:b/>
          <w:lang w:val="en-US"/>
        </w:rPr>
        <w:t>PROIECT</w:t>
      </w:r>
    </w:p>
    <w:p w:rsidR="00737673" w:rsidRPr="00A901AB" w:rsidRDefault="00737673" w:rsidP="00A63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01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DECIZIE                       </w:t>
      </w:r>
    </w:p>
    <w:p w:rsidR="00737673" w:rsidRPr="00C44365" w:rsidRDefault="00737673" w:rsidP="00A63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01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Nr.</w:t>
      </w:r>
      <w:proofErr w:type="gram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2022</w:t>
      </w:r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</w:t>
      </w:r>
    </w:p>
    <w:p w:rsidR="00737673" w:rsidRPr="004270AC" w:rsidRDefault="00737673" w:rsidP="00A63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Cu 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privire</w:t>
      </w:r>
      <w:proofErr w:type="spell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aprobarea</w:t>
      </w:r>
      <w:proofErr w:type="spellEnd"/>
      <w:proofErr w:type="gram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punerea</w:t>
      </w:r>
      <w:proofErr w:type="spellEnd"/>
    </w:p>
    <w:p w:rsidR="00737673" w:rsidRPr="004270AC" w:rsidRDefault="00737673" w:rsidP="00A63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proofErr w:type="gram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aplicare</w:t>
      </w:r>
      <w:proofErr w:type="spell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taxelor</w:t>
      </w:r>
      <w:proofErr w:type="spell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locale 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>anul</w:t>
      </w:r>
      <w:proofErr w:type="spellEnd"/>
      <w:r w:rsidRPr="004270A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2023</w:t>
      </w:r>
    </w:p>
    <w:p w:rsidR="00737673" w:rsidRPr="00C44365" w:rsidRDefault="00737673" w:rsidP="00A63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73" w:rsidRPr="00C44365" w:rsidRDefault="00737673" w:rsidP="00A639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Titlul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VII”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Taxele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locale” din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fiscal,Legea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administrația-publică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nr.436-XVI din 28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2006,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finanțele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 397- XV din16.10.2003,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finanțelor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responsabilității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fiscal nr.181 din 25.07.2014,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nr.235-XVI din 20.06.2006,cu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reglementarea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activității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întreprinzător,Legea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reglementarea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autorizare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activității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întreprinzător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nr.160 din 22.07.2011,Legea cu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publicitate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nr.1227 XIII  din 27.06.97,Legea cu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comerțul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interior nr.231 din 23.09.2010,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Hotărîrea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desfășurarea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comerțului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amănuntul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nr.931 din 08.12.2011,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Hotărîrea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nr.1209 din 08.11.2007 cu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prestarea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alimentație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,                               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comunal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44365">
        <w:rPr>
          <w:rFonts w:ascii="Times New Roman" w:hAnsi="Times New Roman" w:cs="Times New Roman"/>
          <w:b/>
          <w:bCs/>
          <w:sz w:val="24"/>
          <w:szCs w:val="24"/>
          <w:lang w:val="en-US"/>
        </w:rPr>
        <w:t>DECIDE: </w:t>
      </w:r>
    </w:p>
    <w:p w:rsidR="00737673" w:rsidRPr="00C44365" w:rsidRDefault="00737673" w:rsidP="00A6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      1.Se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taxele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locale conform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VII  al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Codului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fiscal, </w:t>
      </w:r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cu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exepția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taxei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locale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unitățile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comerciale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sau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prestări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servicii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precum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taxa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prestarea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serviciilor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transport auto de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călători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teritoriul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municipiilor,orașelor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satelor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comunelor</w:t>
      </w:r>
      <w:proofErr w:type="spellEnd"/>
      <w:r w:rsidRPr="00C4436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cotele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nr.1:</w:t>
      </w:r>
    </w:p>
    <w:p w:rsidR="00737673" w:rsidRPr="00C44365" w:rsidRDefault="00737673" w:rsidP="00A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2. Se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stabilește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taxa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unitățile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comerciale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prestări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cotele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nr. 2; </w:t>
      </w:r>
    </w:p>
    <w:p w:rsidR="00737673" w:rsidRPr="00C44365" w:rsidRDefault="00737673" w:rsidP="00A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4365">
        <w:rPr>
          <w:rFonts w:ascii="Times New Roman" w:hAnsi="Times New Roman" w:cs="Times New Roman"/>
          <w:sz w:val="24"/>
          <w:szCs w:val="24"/>
          <w:lang w:val="en-US"/>
        </w:rPr>
        <w:t>3.Subiec</w:t>
      </w:r>
      <w:proofErr w:type="gram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ții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impunerii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impozabilă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obiectelor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impunerii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calcularea,termenile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achitare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prezentare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dării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seamă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taxele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Titlului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VII al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Codului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fiscal.  </w:t>
      </w:r>
    </w:p>
    <w:p w:rsidR="00737673" w:rsidRDefault="00737673" w:rsidP="00A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4.Prezenta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de 10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adoptării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afi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adusă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cunoștința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contribuabililor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prezentată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subdiviziunilor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structurale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teritoriale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Fiscal de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stat,de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specialistul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fiscal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Mîndrila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Ana.</w:t>
      </w:r>
    </w:p>
    <w:p w:rsidR="00737673" w:rsidRDefault="00737673" w:rsidP="00A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5.Executarea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Bîrnat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Olesea,contabil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7673" w:rsidRPr="00C44365" w:rsidRDefault="00737673" w:rsidP="00A63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.Controlul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se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Bujoreanu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Valeriu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>) .</w:t>
      </w:r>
    </w:p>
    <w:p w:rsidR="00737673" w:rsidRPr="00C44365" w:rsidRDefault="00737673" w:rsidP="00A6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A6392C" w:rsidRDefault="00737673" w:rsidP="00A6392C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6392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37673" w:rsidRPr="00A901AB" w:rsidRDefault="00737673" w:rsidP="00A6392C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901AB">
        <w:rPr>
          <w:rFonts w:ascii="Times New Roman" w:hAnsi="Times New Roman" w:cs="Times New Roman"/>
          <w:sz w:val="24"/>
          <w:szCs w:val="24"/>
          <w:lang w:val="en-US"/>
        </w:rPr>
        <w:t>Preşedinte</w:t>
      </w:r>
      <w:proofErr w:type="spellEnd"/>
      <w:r w:rsidRPr="00A901A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901AB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A901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A901A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37673" w:rsidRPr="00C44365" w:rsidRDefault="00A6392C" w:rsidP="00A6392C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>Contrasemnat</w:t>
      </w:r>
      <w:proofErr w:type="spellEnd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737673" w:rsidRPr="00C44365" w:rsidRDefault="00A6392C" w:rsidP="00A6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proofErr w:type="gramStart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>comunal</w:t>
      </w:r>
      <w:proofErr w:type="spellEnd"/>
      <w:proofErr w:type="gramEnd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</w:t>
      </w:r>
      <w:proofErr w:type="spellStart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>Răileanu</w:t>
      </w:r>
      <w:proofErr w:type="spellEnd"/>
      <w:r w:rsidR="00737673"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Olga</w:t>
      </w:r>
    </w:p>
    <w:p w:rsidR="00737673" w:rsidRPr="00C44365" w:rsidRDefault="00737673" w:rsidP="00A6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7673" w:rsidRPr="00C44365" w:rsidRDefault="00737673" w:rsidP="00A6392C">
      <w:pPr>
        <w:spacing w:after="0" w:line="240" w:lineRule="auto"/>
        <w:rPr>
          <w:sz w:val="24"/>
          <w:szCs w:val="24"/>
          <w:lang w:val="en-US"/>
        </w:rPr>
      </w:pPr>
    </w:p>
    <w:p w:rsidR="00737673" w:rsidRPr="00C44365" w:rsidRDefault="00737673" w:rsidP="00A6392C">
      <w:pPr>
        <w:spacing w:after="0" w:line="240" w:lineRule="auto"/>
        <w:rPr>
          <w:sz w:val="24"/>
          <w:szCs w:val="24"/>
          <w:lang w:val="en-US"/>
        </w:rPr>
      </w:pPr>
    </w:p>
    <w:p w:rsidR="00737673" w:rsidRDefault="00737673" w:rsidP="00737673">
      <w:pPr>
        <w:pStyle w:val="Frspaiere"/>
        <w:rPr>
          <w:rFonts w:ascii="Times New Roman" w:hAnsi="Times New Roman" w:cs="Times New Roman"/>
          <w:lang w:val="en-US"/>
        </w:rPr>
      </w:pPr>
    </w:p>
    <w:p w:rsidR="00737673" w:rsidRDefault="00737673" w:rsidP="00737673">
      <w:pPr>
        <w:pStyle w:val="Frspaiere"/>
        <w:rPr>
          <w:rFonts w:ascii="Times New Roman" w:hAnsi="Times New Roman" w:cs="Times New Roman"/>
          <w:lang w:val="en-US"/>
        </w:rPr>
      </w:pPr>
    </w:p>
    <w:p w:rsidR="00737673" w:rsidRPr="00A901AB" w:rsidRDefault="00737673" w:rsidP="0073767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Pr="00A901AB">
        <w:rPr>
          <w:rFonts w:ascii="Times New Roman" w:hAnsi="Times New Roman" w:cs="Times New Roman"/>
          <w:b/>
          <w:sz w:val="24"/>
          <w:szCs w:val="24"/>
          <w:lang w:val="en-US"/>
        </w:rPr>
        <w:t>ANEXA nr.1</w:t>
      </w:r>
    </w:p>
    <w:p w:rsidR="00737673" w:rsidRPr="00C44365" w:rsidRDefault="00737673" w:rsidP="0073767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01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</w:t>
      </w:r>
      <w:proofErr w:type="gram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decizia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comunal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nr.    </w:t>
      </w:r>
      <w:proofErr w:type="gram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proofErr w:type="gram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</w:p>
    <w:p w:rsidR="00737673" w:rsidRPr="00C44365" w:rsidRDefault="00737673" w:rsidP="007376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Taxele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locale</w:t>
      </w:r>
      <w:proofErr w:type="gram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,cotele</w:t>
      </w:r>
      <w:proofErr w:type="spellEnd"/>
      <w:proofErr w:type="gram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înlesnirile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fiscal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ce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pun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aplicare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anul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tbl>
      <w:tblPr>
        <w:tblpPr w:leftFromText="180" w:rightFromText="180" w:vertAnchor="text" w:tblpY="1"/>
        <w:tblOverlap w:val="never"/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817"/>
        <w:gridCol w:w="2656"/>
        <w:gridCol w:w="940"/>
        <w:gridCol w:w="1048"/>
        <w:gridCol w:w="1388"/>
        <w:gridCol w:w="1086"/>
      </w:tblGrid>
      <w:tr w:rsidR="00737673" w:rsidRPr="00472DDD" w:rsidTr="00081C93">
        <w:trPr>
          <w:gridAfter w:val="6"/>
          <w:wAfter w:w="4706" w:type="pct"/>
        </w:trPr>
        <w:tc>
          <w:tcPr>
            <w:tcW w:w="294" w:type="pct"/>
            <w:tcBorders>
              <w:top w:val="nil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</w:t>
            </w:r>
          </w:p>
        </w:tc>
      </w:tr>
      <w:tr w:rsidR="00737673" w:rsidRPr="00472DDD" w:rsidTr="00081C93">
        <w:trPr>
          <w:trHeight w:val="83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nr.d/o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Denumirea taxei </w:t>
            </w:r>
          </w:p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locale</w:t>
            </w:r>
          </w:p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Mărimea  taxei </w:t>
            </w:r>
          </w:p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locale</w:t>
            </w:r>
          </w:p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Termenele de plată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Coefficient pentru tipul pieții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Înlesnirile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fiscal conform art. 296din CF</w:t>
            </w:r>
          </w:p>
        </w:tc>
      </w:tr>
      <w:tr w:rsidR="00737673" w:rsidRPr="00A42A9C" w:rsidTr="00081C93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673" w:rsidRPr="00A42A9C" w:rsidTr="00081C93">
        <w:trPr>
          <w:trHeight w:val="137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>Taxă pentru amenajarea teritoriului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lei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anual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pentru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fiecare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salariat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şi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sau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fondator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 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întreprindere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Trimestrial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673" w:rsidRPr="00472DDD" w:rsidTr="00081C93">
        <w:trPr>
          <w:trHeight w:val="1140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9F5C16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Taxa de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organizare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a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licitaâiilor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și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lotereilor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teritoriul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comunei</w:t>
            </w:r>
            <w:proofErr w:type="spellEnd"/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AE756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37673" w:rsidRPr="00C44365" w:rsidRDefault="00737673" w:rsidP="00081C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7673" w:rsidRPr="00472DDD" w:rsidTr="00081C93">
        <w:trPr>
          <w:trHeight w:val="735"/>
        </w:trPr>
        <w:tc>
          <w:tcPr>
            <w:tcW w:w="2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9F5C16" w:rsidRDefault="00737673" w:rsidP="00081C9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Taxa de plasare (amplasare)a publicității (reclame)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37673" w:rsidRPr="00C44365" w:rsidRDefault="00737673" w:rsidP="00081C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7673" w:rsidRPr="00472DDD" w:rsidTr="00081C93">
        <w:trPr>
          <w:trHeight w:val="420"/>
        </w:trPr>
        <w:tc>
          <w:tcPr>
            <w:tcW w:w="2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Taxa de aplicare  a simbolicii locale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7673" w:rsidRPr="00A42A9C" w:rsidTr="00081C93">
        <w:trPr>
          <w:trHeight w:val="405"/>
        </w:trPr>
        <w:tc>
          <w:tcPr>
            <w:tcW w:w="2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Taxa de piață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673" w:rsidRPr="00A42A9C" w:rsidTr="00081C93">
        <w:trPr>
          <w:trHeight w:val="405"/>
        </w:trPr>
        <w:tc>
          <w:tcPr>
            <w:tcW w:w="2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Taxa de cazare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673" w:rsidRPr="00A42A9C" w:rsidTr="00081C93">
        <w:tc>
          <w:tcPr>
            <w:tcW w:w="2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Taxa balneară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673" w:rsidRPr="00A42A9C" w:rsidTr="00081C93">
        <w:trPr>
          <w:trHeight w:val="65"/>
        </w:trPr>
        <w:tc>
          <w:tcPr>
            <w:tcW w:w="2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Taxa pentru parcare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FE3C1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673" w:rsidRPr="00472DDD" w:rsidTr="00081C93">
        <w:trPr>
          <w:trHeight w:val="65"/>
        </w:trPr>
        <w:tc>
          <w:tcPr>
            <w:tcW w:w="2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Taxa de la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posesorii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cîini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7673" w:rsidRPr="00A42A9C" w:rsidTr="00081C93">
        <w:trPr>
          <w:trHeight w:val="65"/>
        </w:trPr>
        <w:tc>
          <w:tcPr>
            <w:tcW w:w="29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Taxa pentru parcaj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FE3C1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673" w:rsidRPr="00472DDD" w:rsidTr="00081C93">
        <w:trPr>
          <w:trHeight w:val="623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>Taxă pentru salubrizare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EB4C1C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25 lei </w:t>
            </w:r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lunar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fiecare</w:t>
            </w:r>
            <w:proofErr w:type="spellEnd"/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gospodărie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lunar.</w:t>
            </w:r>
          </w:p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3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lunar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CB2BC2" w:rsidRDefault="00737673" w:rsidP="00081C9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502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1"/>
            </w:tblGrid>
            <w:tr w:rsidR="00737673" w:rsidRPr="00472DDD" w:rsidTr="00081C93">
              <w:trPr>
                <w:trHeight w:val="623"/>
              </w:trPr>
              <w:tc>
                <w:tcPr>
                  <w:tcW w:w="731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737673" w:rsidRPr="00CB2BC2" w:rsidRDefault="00737673" w:rsidP="00EC56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Veteranii de război,invalizii de </w:t>
                  </w:r>
                  <w:proofErr w:type="spellStart"/>
                  <w:r w:rsidR="00EC56F1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g</w:t>
                  </w:r>
                  <w:r w:rsidR="00A6392C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r.I</w:t>
                  </w:r>
                  <w:proofErr w:type="spellEnd"/>
                  <w:r w:rsidR="00A6392C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,pensionarii singuratic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i,-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scutire-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 50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%</w:t>
                  </w:r>
                </w:p>
              </w:tc>
            </w:tr>
          </w:tbl>
          <w:p w:rsidR="00737673" w:rsidRPr="00CB2BC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7673" w:rsidRPr="00A42A9C" w:rsidTr="00081C93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>Taxă pentru dispozitivele publicitare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C44365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358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673" w:rsidRPr="00FE3C1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673" w:rsidRPr="006D3582" w:rsidRDefault="00737673" w:rsidP="00081C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7673" w:rsidRPr="002E731A" w:rsidRDefault="00737673" w:rsidP="00737673">
      <w:pPr>
        <w:rPr>
          <w:rFonts w:ascii="Times New Roman" w:hAnsi="Times New Roman" w:cs="Times New Roman"/>
          <w:sz w:val="16"/>
          <w:szCs w:val="16"/>
          <w:lang w:val="ro-RO"/>
        </w:rPr>
      </w:pPr>
      <w:r w:rsidRPr="002E731A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  <w:r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2E731A">
        <w:rPr>
          <w:rFonts w:ascii="Times New Roman" w:hAnsi="Times New Roman" w:cs="Times New Roman"/>
          <w:sz w:val="16"/>
          <w:szCs w:val="16"/>
          <w:lang w:val="en-US"/>
        </w:rPr>
        <w:t xml:space="preserve">pecialist fiscal                                                     </w:t>
      </w:r>
      <w:proofErr w:type="spellStart"/>
      <w:r w:rsidRPr="002E731A">
        <w:rPr>
          <w:rFonts w:ascii="Times New Roman" w:hAnsi="Times New Roman" w:cs="Times New Roman"/>
          <w:sz w:val="16"/>
          <w:szCs w:val="16"/>
          <w:lang w:val="en-US"/>
        </w:rPr>
        <w:t>Mîndrila</w:t>
      </w:r>
      <w:proofErr w:type="spellEnd"/>
      <w:r w:rsidRPr="002E731A">
        <w:rPr>
          <w:rFonts w:ascii="Times New Roman" w:hAnsi="Times New Roman" w:cs="Times New Roman"/>
          <w:sz w:val="16"/>
          <w:szCs w:val="16"/>
          <w:lang w:val="en-US"/>
        </w:rPr>
        <w:t xml:space="preserve"> Ana</w:t>
      </w:r>
    </w:p>
    <w:p w:rsidR="00737673" w:rsidRPr="002E731A" w:rsidRDefault="00737673" w:rsidP="00737673">
      <w:pPr>
        <w:tabs>
          <w:tab w:val="left" w:pos="2820"/>
        </w:tabs>
        <w:rPr>
          <w:lang w:val="en-US"/>
        </w:rPr>
      </w:pPr>
    </w:p>
    <w:p w:rsidR="00737673" w:rsidRPr="00CB2BC2" w:rsidRDefault="00737673" w:rsidP="0073767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2B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 w:rsidRPr="00CB2BC2">
        <w:rPr>
          <w:rFonts w:ascii="Times New Roman" w:hAnsi="Times New Roman" w:cs="Times New Roman"/>
          <w:b/>
          <w:sz w:val="24"/>
          <w:szCs w:val="24"/>
          <w:lang w:val="en-US"/>
        </w:rPr>
        <w:t>ANEXA nr.2</w:t>
      </w:r>
    </w:p>
    <w:p w:rsidR="00737673" w:rsidRPr="00C44365" w:rsidRDefault="00737673" w:rsidP="0073767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901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</w:t>
      </w:r>
      <w:proofErr w:type="gram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decizia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comunal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nr.     </w:t>
      </w:r>
      <w:proofErr w:type="gram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proofErr w:type="gram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C56F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737673" w:rsidRPr="00C44365" w:rsidRDefault="00737673" w:rsidP="007376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7673" w:rsidRPr="00C44365" w:rsidRDefault="00737673" w:rsidP="0073767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Cotele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taxei</w:t>
      </w:r>
      <w:proofErr w:type="spellEnd"/>
      <w:proofErr w:type="gram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unitățile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comerciale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sau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prestări</w:t>
      </w:r>
      <w:proofErr w:type="spellEnd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>servicii</w:t>
      </w:r>
      <w:proofErr w:type="spellEnd"/>
    </w:p>
    <w:tbl>
      <w:tblPr>
        <w:tblStyle w:val="GrilTabel"/>
        <w:tblW w:w="9606" w:type="dxa"/>
        <w:tblLook w:val="04A0" w:firstRow="1" w:lastRow="0" w:firstColumn="1" w:lastColumn="0" w:noHBand="0" w:noVBand="1"/>
      </w:tblPr>
      <w:tblGrid>
        <w:gridCol w:w="658"/>
        <w:gridCol w:w="2508"/>
        <w:gridCol w:w="1636"/>
        <w:gridCol w:w="1602"/>
        <w:gridCol w:w="1600"/>
        <w:gridCol w:w="1602"/>
      </w:tblGrid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d/o</w:t>
            </w:r>
          </w:p>
        </w:tc>
        <w:tc>
          <w:tcPr>
            <w:tcW w:w="2508" w:type="dxa"/>
          </w:tcPr>
          <w:p w:rsidR="00737673" w:rsidRPr="00BA1875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prestări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servici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36" w:type="dxa"/>
          </w:tcPr>
          <w:p w:rsidR="00737673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Cota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taxei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prestări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servici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737673" w:rsidRPr="00F26108" w:rsidRDefault="00737673" w:rsidP="00081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610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F26108">
              <w:rPr>
                <w:rFonts w:ascii="Times New Roman" w:hAnsi="Times New Roman" w:cs="Times New Roman"/>
                <w:sz w:val="20"/>
                <w:szCs w:val="20"/>
              </w:rPr>
              <w:t xml:space="preserve"> lei </w:t>
            </w:r>
            <w:proofErr w:type="spellStart"/>
            <w:r w:rsidRPr="00F26108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26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0"/>
                <w:szCs w:val="20"/>
              </w:rPr>
              <w:t>anul</w:t>
            </w:r>
            <w:proofErr w:type="spellEnd"/>
            <w:r w:rsidRPr="00F26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0"/>
                <w:szCs w:val="20"/>
              </w:rPr>
              <w:t>calendaristic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Coefficient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locul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amplasării</w:t>
            </w:r>
            <w:proofErr w:type="spellEnd"/>
          </w:p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73" w:rsidRPr="00B93203" w:rsidRDefault="00737673" w:rsidP="00081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cota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taxei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Coieficient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pentr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mărfuri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prestate</w:t>
            </w:r>
            <w:proofErr w:type="spellEnd"/>
          </w:p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cota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taxei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Coieficient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programul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>rejim</w:t>
            </w:r>
            <w:proofErr w:type="spellEnd"/>
            <w:r w:rsidRPr="00F26108">
              <w:rPr>
                <w:rFonts w:ascii="Times New Roman" w:hAnsi="Times New Roman" w:cs="Times New Roman"/>
                <w:sz w:val="24"/>
                <w:szCs w:val="24"/>
              </w:rPr>
              <w:t xml:space="preserve"> non-stop</w:t>
            </w:r>
          </w:p>
          <w:p w:rsidR="00737673" w:rsidRPr="00F26108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</w:t>
            </w:r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cota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taxei</w:t>
            </w:r>
            <w:proofErr w:type="spellEnd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93203">
              <w:rPr>
                <w:rFonts w:ascii="Times New Roman" w:hAnsi="Times New Roman" w:cs="Times New Roman"/>
                <w:sz w:val="20"/>
                <w:szCs w:val="20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8" w:type="dxa"/>
            <w:gridSpan w:val="5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Unități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comerț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amănuntul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conform HG nr.931din 08.12.2011</w:t>
            </w: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737673" w:rsidRPr="00B93203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203">
              <w:rPr>
                <w:rFonts w:ascii="Times New Roman" w:hAnsi="Times New Roman" w:cs="Times New Roman"/>
                <w:sz w:val="24"/>
                <w:szCs w:val="24"/>
              </w:rPr>
              <w:t>Magazin</w:t>
            </w:r>
            <w:proofErr w:type="spellEnd"/>
            <w:r w:rsidRPr="00B93203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B93203">
              <w:rPr>
                <w:rFonts w:ascii="Times New Roman" w:hAnsi="Times New Roman" w:cs="Times New Roman"/>
                <w:sz w:val="24"/>
                <w:szCs w:val="24"/>
              </w:rPr>
              <w:t>comercializează</w:t>
            </w:r>
            <w:proofErr w:type="spellEnd"/>
            <w:r w:rsidRPr="00B9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203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mărfuri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casnic,mărfuri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</w:t>
            </w:r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8F2BD5" w:rsidRDefault="00737673" w:rsidP="00081C93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spellEnd"/>
          </w:p>
        </w:tc>
        <w:tc>
          <w:tcPr>
            <w:tcW w:w="1636" w:type="dxa"/>
          </w:tcPr>
          <w:p w:rsidR="00737673" w:rsidRPr="00CA3328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2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02" w:type="dxa"/>
          </w:tcPr>
          <w:p w:rsidR="00737673" w:rsidRPr="00A907EE" w:rsidRDefault="00737673" w:rsidP="00081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25%pentru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unităâile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amplasate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raza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a200m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dela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str. Stefan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cel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Mare</w:t>
            </w: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de la  21m.p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la 50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spellEnd"/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02" w:type="dxa"/>
          </w:tcPr>
          <w:p w:rsidR="00737673" w:rsidRPr="00A907EE" w:rsidRDefault="00737673" w:rsidP="00081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25%pentru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unităâile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amplasate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raza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a200m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dela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str. Stefan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cel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Mare</w:t>
            </w: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A22092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amănuntul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farmaceutice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02" w:type="dxa"/>
          </w:tcPr>
          <w:p w:rsidR="00737673" w:rsidRPr="00A907EE" w:rsidRDefault="00737673" w:rsidP="00081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De la 51m.p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02" w:type="dxa"/>
          </w:tcPr>
          <w:p w:rsidR="00737673" w:rsidRPr="00A907EE" w:rsidRDefault="00737673" w:rsidP="00081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25%pentru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unităâile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amplasate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raza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a200m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dela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str. Stefan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cel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Mare</w:t>
            </w: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5C78CF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petrol</w:t>
            </w:r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A907EE" w:rsidRDefault="00737673" w:rsidP="00081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ambulanța</w:t>
            </w:r>
            <w:proofErr w:type="spellEnd"/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muzicale</w:t>
            </w:r>
            <w:proofErr w:type="spellEnd"/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5C78CF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6" w:type="dxa"/>
          </w:tcPr>
          <w:p w:rsidR="00737673" w:rsidRPr="005C78CF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8" w:type="dxa"/>
            <w:gridSpan w:val="5"/>
          </w:tcPr>
          <w:p w:rsidR="00737673" w:rsidRPr="00CA3328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>Unități</w:t>
            </w:r>
            <w:proofErr w:type="spellEnd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>comerț</w:t>
            </w:r>
            <w:proofErr w:type="spellEnd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cash and carry</w:t>
            </w: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Obectele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comerț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cash and carry</w:t>
            </w:r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la      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spellEnd"/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De la …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la …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8" w:type="dxa"/>
            <w:gridSpan w:val="5"/>
          </w:tcPr>
          <w:p w:rsidR="00737673" w:rsidRPr="00CA3328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>Unități</w:t>
            </w:r>
            <w:proofErr w:type="spellEnd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>comerț</w:t>
            </w:r>
            <w:proofErr w:type="spellEnd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CA3328">
              <w:rPr>
                <w:rFonts w:ascii="Times New Roman" w:hAnsi="Times New Roman" w:cs="Times New Roman"/>
                <w:b/>
                <w:sz w:val="24"/>
                <w:szCs w:val="24"/>
              </w:rPr>
              <w:t>ridicata</w:t>
            </w:r>
            <w:proofErr w:type="spellEnd"/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Încăperi</w:t>
            </w:r>
            <w:proofErr w:type="spellEnd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E370C">
              <w:rPr>
                <w:rFonts w:ascii="Times New Roman" w:hAnsi="Times New Roman" w:cs="Times New Roman"/>
                <w:sz w:val="24"/>
                <w:szCs w:val="24"/>
              </w:rPr>
              <w:t>depozitare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cumpărate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revînzării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comercianți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utilizatori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profesionali</w:t>
            </w:r>
            <w:proofErr w:type="spellEnd"/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BE370C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CA3328" w:rsidRDefault="00737673" w:rsidP="00081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28">
              <w:rPr>
                <w:rFonts w:ascii="Times New Roman" w:hAnsi="Times New Roman" w:cs="Times New Roman"/>
                <w:sz w:val="24"/>
                <w:szCs w:val="24"/>
              </w:rPr>
              <w:t xml:space="preserve">De la … </w:t>
            </w:r>
            <w:proofErr w:type="spellStart"/>
            <w:r w:rsidRPr="00CA3328"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 w:rsidRPr="00CA3328">
              <w:rPr>
                <w:rFonts w:ascii="Times New Roman" w:hAnsi="Times New Roman" w:cs="Times New Roman"/>
                <w:sz w:val="24"/>
                <w:szCs w:val="24"/>
              </w:rPr>
              <w:t xml:space="preserve"> la…</w:t>
            </w:r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RPr="00472DDD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8" w:type="dxa"/>
            <w:gridSpan w:val="5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Unități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alimentație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 conform HG NR.1209 DIN 08.11.2007</w:t>
            </w: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CA3328" w:rsidRDefault="00737673" w:rsidP="00081C9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3328">
              <w:rPr>
                <w:rFonts w:ascii="Times New Roman" w:hAnsi="Times New Roman" w:cs="Times New Roman"/>
                <w:sz w:val="24"/>
                <w:szCs w:val="24"/>
              </w:rPr>
              <w:t xml:space="preserve">Complex de </w:t>
            </w:r>
            <w:proofErr w:type="spellStart"/>
            <w:r w:rsidRPr="00CA3328">
              <w:rPr>
                <w:rFonts w:ascii="Times New Roman" w:hAnsi="Times New Roman" w:cs="Times New Roman"/>
                <w:sz w:val="24"/>
                <w:szCs w:val="24"/>
              </w:rPr>
              <w:t>alimenta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CA3328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CA33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publică</w:t>
            </w:r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Pr="00CA3328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Pînă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unități</w:t>
            </w:r>
            <w:proofErr w:type="spellEnd"/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la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unități</w:t>
            </w:r>
            <w:proofErr w:type="spellEnd"/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restaurant</w:t>
            </w:r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festivități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spellEnd"/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4600</w:t>
            </w:r>
          </w:p>
        </w:tc>
        <w:tc>
          <w:tcPr>
            <w:tcW w:w="1602" w:type="dxa"/>
          </w:tcPr>
          <w:p w:rsidR="00737673" w:rsidRPr="00A907EE" w:rsidRDefault="00737673" w:rsidP="00081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25%pentru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unităâile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amplasate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raza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a200m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dela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str. Stefan </w:t>
            </w:r>
            <w:proofErr w:type="spellStart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>cel</w:t>
            </w:r>
            <w:proofErr w:type="spellEnd"/>
            <w:r w:rsidRPr="00A907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Mare</w:t>
            </w: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73" w:rsidTr="00081C93">
        <w:tc>
          <w:tcPr>
            <w:tcW w:w="658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737673" w:rsidRDefault="00737673" w:rsidP="0008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737673" w:rsidRDefault="00737673" w:rsidP="00081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673" w:rsidRPr="00C44365" w:rsidRDefault="00737673" w:rsidP="007376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unitățile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comerciale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se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fixează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o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taxă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unică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de  1200 lei/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737673" w:rsidRPr="00C44365" w:rsidRDefault="00737673" w:rsidP="007376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7673" w:rsidRPr="00C44365" w:rsidRDefault="00737673" w:rsidP="0073767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44365">
        <w:rPr>
          <w:rFonts w:ascii="Times New Roman" w:hAnsi="Times New Roman" w:cs="Times New Roman"/>
          <w:sz w:val="24"/>
          <w:szCs w:val="24"/>
          <w:lang w:val="en-US"/>
        </w:rPr>
        <w:t>Specialist  fiscal</w:t>
      </w:r>
      <w:proofErr w:type="gram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proofErr w:type="spellStart"/>
      <w:r w:rsidRPr="00C44365">
        <w:rPr>
          <w:rFonts w:ascii="Times New Roman" w:hAnsi="Times New Roman" w:cs="Times New Roman"/>
          <w:sz w:val="24"/>
          <w:szCs w:val="24"/>
          <w:lang w:val="en-US"/>
        </w:rPr>
        <w:t>Mîndrilă</w:t>
      </w:r>
      <w:proofErr w:type="spellEnd"/>
      <w:r w:rsidRPr="00C44365">
        <w:rPr>
          <w:rFonts w:ascii="Times New Roman" w:hAnsi="Times New Roman" w:cs="Times New Roman"/>
          <w:sz w:val="24"/>
          <w:szCs w:val="24"/>
          <w:lang w:val="en-US"/>
        </w:rPr>
        <w:t xml:space="preserve">  Ana</w:t>
      </w:r>
      <w:r w:rsidRPr="00C4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37673" w:rsidRPr="00C44365" w:rsidRDefault="00737673" w:rsidP="00737673">
      <w:pPr>
        <w:tabs>
          <w:tab w:val="left" w:pos="2820"/>
        </w:tabs>
        <w:rPr>
          <w:lang w:val="en-US"/>
        </w:rPr>
      </w:pPr>
    </w:p>
    <w:p w:rsidR="00737673" w:rsidRPr="00C44365" w:rsidRDefault="00737673" w:rsidP="00737673">
      <w:pPr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  <w:r w:rsidRPr="00C44365">
        <w:rPr>
          <w:sz w:val="24"/>
          <w:szCs w:val="24"/>
          <w:lang w:val="en-US"/>
        </w:rPr>
        <w:tab/>
      </w: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Pr="00C44365" w:rsidRDefault="00737673" w:rsidP="00737673">
      <w:pPr>
        <w:tabs>
          <w:tab w:val="left" w:pos="7470"/>
        </w:tabs>
        <w:rPr>
          <w:sz w:val="24"/>
          <w:szCs w:val="24"/>
          <w:lang w:val="en-US"/>
        </w:rPr>
      </w:pPr>
    </w:p>
    <w:p w:rsidR="00737673" w:rsidRDefault="00737673" w:rsidP="00A6392C">
      <w:pPr>
        <w:pStyle w:val="Frspaiere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NOTA INFORMATIVA</w:t>
      </w:r>
    </w:p>
    <w:p w:rsidR="00737673" w:rsidRDefault="00737673" w:rsidP="00A6392C">
      <w:pPr>
        <w:pStyle w:val="Frspaiere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ro-RO"/>
        </w:rPr>
        <w:t>La proiectul de decizie nr.     din     202</w:t>
      </w:r>
      <w:r w:rsidR="00EC56F1">
        <w:rPr>
          <w:rFonts w:ascii="Times New Roman" w:hAnsi="Times New Roman" w:cs="Times New Roman"/>
          <w:b/>
          <w:lang w:val="ro-RO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8"/>
          <w:lang w:val="en-US"/>
        </w:rPr>
        <w:t>,</w:t>
      </w:r>
      <w:r w:rsidR="00EC56F1">
        <w:rPr>
          <w:rFonts w:ascii="Times New Roman" w:hAnsi="Times New Roman" w:cs="Times New Roman"/>
          <w:b/>
          <w:bCs/>
          <w:color w:val="000000"/>
          <w:spacing w:val="-8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Cu   </w:t>
      </w:r>
      <w:proofErr w:type="spellStart"/>
      <w:r>
        <w:rPr>
          <w:rFonts w:ascii="Times New Roman" w:hAnsi="Times New Roman" w:cs="Times New Roman"/>
          <w:lang w:val="en-US"/>
        </w:rPr>
        <w:t>privire</w:t>
      </w:r>
      <w:proofErr w:type="spellEnd"/>
      <w:r>
        <w:rPr>
          <w:rFonts w:ascii="Times New Roman" w:hAnsi="Times New Roman" w:cs="Times New Roman"/>
          <w:lang w:val="en-US"/>
        </w:rPr>
        <w:t xml:space="preserve">  la   </w:t>
      </w:r>
      <w:proofErr w:type="spellStart"/>
      <w:r>
        <w:rPr>
          <w:rFonts w:ascii="Times New Roman" w:hAnsi="Times New Roman" w:cs="Times New Roman"/>
          <w:lang w:val="en-US"/>
        </w:rPr>
        <w:t>aprobarea</w:t>
      </w:r>
      <w:proofErr w:type="spellEnd"/>
      <w:r>
        <w:rPr>
          <w:rFonts w:ascii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cotelor</w:t>
      </w:r>
      <w:proofErr w:type="spellEnd"/>
    </w:p>
    <w:p w:rsidR="00737673" w:rsidRDefault="00737673" w:rsidP="00A6392C">
      <w:pPr>
        <w:pStyle w:val="Frspaiere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taxelor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 locale   </w:t>
      </w:r>
      <w:proofErr w:type="spellStart"/>
      <w:r>
        <w:rPr>
          <w:rFonts w:ascii="Times New Roman" w:hAnsi="Times New Roman" w:cs="Times New Roman"/>
          <w:lang w:val="en-US"/>
        </w:rPr>
        <w:t>pentru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anul</w:t>
      </w:r>
      <w:proofErr w:type="spellEnd"/>
      <w:r>
        <w:rPr>
          <w:rFonts w:ascii="Times New Roman" w:hAnsi="Times New Roman" w:cs="Times New Roman"/>
          <w:lang w:val="en-US"/>
        </w:rPr>
        <w:t xml:space="preserve">  202</w:t>
      </w:r>
      <w:r w:rsidR="00EC56F1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>”</w:t>
      </w:r>
    </w:p>
    <w:p w:rsidR="00737673" w:rsidRDefault="00737673" w:rsidP="00A6392C">
      <w:pPr>
        <w:pStyle w:val="Frspaiere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Denumirea autorului şi, după caz, a participanţilor la elaborarea proiectului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ro-MO"/>
              </w:rPr>
            </w:pPr>
          </w:p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participat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colaboratorii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,(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primarul,perceptorul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fiscal,contabilul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şef,secretarul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)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2. Condiţiile ce au impus elaborarea proiectului de act normativ şi finalităţile urmărite</w:t>
            </w:r>
          </w:p>
        </w:tc>
      </w:tr>
      <w:tr w:rsidR="00737673" w:rsidRPr="00472DDD" w:rsidTr="00081C93">
        <w:trPr>
          <w:trHeight w:val="12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Prezentul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proiect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 a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asigurării acumulării de venit la bugetul primăriei Pănășești  pentru anul 202</w:t>
            </w:r>
            <w:r w:rsidR="00EC56F1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,în conformitate cu prevederile Codului Fiscal şi altor acte legislative în vigoare.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Finalităţile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urmărite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mărirea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părţii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venit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a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bugetului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unităţii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administrativ-teritoriale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3. Principalele prevederi ale proiectului şi evidenţierea elementelor noi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ro-MO"/>
              </w:rPr>
            </w:pPr>
          </w:p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de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conţine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2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anexe</w:t>
            </w:r>
            <w:proofErr w:type="spellEnd"/>
          </w:p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anexa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 nr. 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prezentate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cotele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taxelor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locale,în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nr. 2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stabilite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cotele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taxei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unităţile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comerciale,deasemenea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coeficienţii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locul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amplasării,pentru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categoria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de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mărfuri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realizată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37673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4. Fundamentarea economico-financiară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necesită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adăugătoare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.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5. Modul de încorporare a actului în cadrul normativ în vigoare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Proiectul se încorporează în sistemul actelor normative şi nu necesită modificarea sau abrogarea altor acte normative.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6. Avizarea şi consultarea publică a proiectului</w:t>
            </w:r>
          </w:p>
        </w:tc>
      </w:tr>
      <w:tr w:rsidR="00737673" w:rsidRPr="00472DDD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ro-MO"/>
              </w:rPr>
            </w:pPr>
          </w:p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ro-MO"/>
              </w:rPr>
              <w:t>Conform art.32 din legea 100 din 22.12.2017,,Cu privire la actele normative”,proiectul de decizie,,</w:t>
            </w:r>
            <w:r>
              <w:rPr>
                <w:rFonts w:ascii="Times New Roman" w:hAnsi="Times New Roman" w:cs="Times New Roman"/>
                <w:lang w:val="en-US"/>
              </w:rPr>
              <w:t xml:space="preserve"> Cu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la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aprobarea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cotelor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taxelor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locale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lang w:val="en-US"/>
              </w:rPr>
              <w:t>”</w:t>
            </w:r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a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fost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avizat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de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specialistul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în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domeniul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perceperii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fiscale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al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primăriei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Pănășești.Totodată,în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scopul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respectării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prevederilor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legii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nr.239 din 13.11,2013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privind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transparenţa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procesului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decisional,proiectul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deciziei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este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plasat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pe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panoul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informativ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 la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primăria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>Pănășești</w:t>
            </w:r>
            <w:proofErr w:type="spellEnd"/>
            <w:r w:rsidRPr="00E5540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lang w:val="en-US"/>
              </w:rPr>
              <w:t xml:space="preserve"> .</w:t>
            </w:r>
          </w:p>
        </w:tc>
      </w:tr>
      <w:tr w:rsidR="00737673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7. Constatările expertizei anticorupție</w:t>
            </w:r>
          </w:p>
        </w:tc>
      </w:tr>
      <w:tr w:rsidR="00737673" w:rsidRPr="00472DDD" w:rsidTr="00081C93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o-MO"/>
              </w:rPr>
              <w:t xml:space="preserve">Proiectul de decizie este elaborat în conformitate cu metodologia de efectuare a expertizei anticorupţie a proiectelor de acte legislative şi normative,anexa nr.2 la </w:t>
            </w:r>
            <w:proofErr w:type="spellStart"/>
            <w:r>
              <w:rPr>
                <w:rFonts w:ascii="Times New Roman" w:hAnsi="Times New Roman" w:cs="Times New Roman"/>
                <w:lang w:val="ro-MO"/>
              </w:rPr>
              <w:t>hotarărea</w:t>
            </w:r>
            <w:proofErr w:type="spellEnd"/>
            <w:r>
              <w:rPr>
                <w:rFonts w:ascii="Times New Roman" w:hAnsi="Times New Roman" w:cs="Times New Roman"/>
                <w:lang w:val="ro-MO"/>
              </w:rPr>
              <w:t xml:space="preserve"> colegiului Centrului Naţional Anticorupţie nr.6 din 20.10.2018</w:t>
            </w:r>
          </w:p>
        </w:tc>
      </w:tr>
      <w:tr w:rsidR="00737673" w:rsidTr="00081C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8. Constatările expertizei juridice</w:t>
            </w:r>
          </w:p>
        </w:tc>
      </w:tr>
      <w:tr w:rsidR="00737673" w:rsidRPr="00472DDD" w:rsidTr="00081C93">
        <w:trPr>
          <w:trHeight w:val="1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decizie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elaborate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temeiul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prevederilor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Codului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Fiscal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nr.1163-XIII  din  24.04.1997,Legii  nr.94-XV  din  01.04..2004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punerea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aplicare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a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Titlului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VII  al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Codului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Fiscal,Legii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nr.397  din  16.10.2003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finanţele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publice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locale,Legea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nr. 436-XVI   din   28.12.2006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administraţia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locală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737673" w:rsidRDefault="00737673" w:rsidP="00081C93">
            <w:pPr>
              <w:pStyle w:val="Frspaiere"/>
              <w:spacing w:line="276" w:lineRule="auto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 xml:space="preserve">Dispoziţiile Proiectului  de decizie se încadrează în cadrul </w:t>
            </w:r>
            <w:proofErr w:type="spellStart"/>
            <w:r>
              <w:rPr>
                <w:rFonts w:ascii="Times New Roman" w:hAnsi="Times New Roman" w:cs="Times New Roman"/>
                <w:lang w:val="ro-MO"/>
              </w:rPr>
              <w:t>legal.Structura</w:t>
            </w:r>
            <w:proofErr w:type="spellEnd"/>
            <w:r>
              <w:rPr>
                <w:rFonts w:ascii="Times New Roman" w:hAnsi="Times New Roman" w:cs="Times New Roman"/>
                <w:lang w:val="ro-MO"/>
              </w:rPr>
              <w:t xml:space="preserve"> şi conţinutul actului corespund normelor de tehnică legislativă.</w:t>
            </w:r>
          </w:p>
        </w:tc>
      </w:tr>
    </w:tbl>
    <w:p w:rsidR="00737673" w:rsidRDefault="00737673" w:rsidP="00737673">
      <w:pPr>
        <w:pStyle w:val="Frspaiere"/>
        <w:rPr>
          <w:rFonts w:ascii="Times New Roman" w:hAnsi="Times New Roman" w:cs="Times New Roman"/>
          <w:lang w:val="en-US"/>
        </w:rPr>
      </w:pPr>
    </w:p>
    <w:p w:rsidR="00737673" w:rsidRDefault="00737673" w:rsidP="00737673">
      <w:pPr>
        <w:pStyle w:val="Frspaiere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Proiectul deciziei se prezintă comisiilor consultative de specialitate pentru avizare şi se propune Consiliului comunal </w:t>
      </w:r>
      <w:proofErr w:type="spellStart"/>
      <w:r>
        <w:rPr>
          <w:bCs/>
          <w:color w:val="000000"/>
          <w:spacing w:val="-8"/>
          <w:sz w:val="24"/>
          <w:szCs w:val="24"/>
          <w:lang w:val="en-US"/>
        </w:rPr>
        <w:t>Pănășești</w:t>
      </w:r>
      <w:proofErr w:type="spellEnd"/>
      <w:r>
        <w:rPr>
          <w:color w:val="000000"/>
          <w:spacing w:val="-8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lang w:val="ro-RO"/>
        </w:rPr>
        <w:t xml:space="preserve"> pentru examinare şi adoptare în şedinţă.</w:t>
      </w:r>
    </w:p>
    <w:p w:rsidR="00737673" w:rsidRDefault="00737673" w:rsidP="00737673">
      <w:pPr>
        <w:pStyle w:val="Frspaiere"/>
        <w:rPr>
          <w:rFonts w:ascii="Times New Roman" w:hAnsi="Times New Roman" w:cs="Times New Roman"/>
          <w:lang w:val="ro-RO"/>
        </w:rPr>
      </w:pPr>
    </w:p>
    <w:p w:rsidR="00737673" w:rsidRDefault="00737673" w:rsidP="00737673">
      <w:pPr>
        <w:pStyle w:val="Frspaiere"/>
        <w:rPr>
          <w:rFonts w:ascii="Times New Roman" w:hAnsi="Times New Roman" w:cs="Times New Roman"/>
          <w:lang w:val="ro-RO"/>
        </w:rPr>
      </w:pPr>
    </w:p>
    <w:p w:rsidR="00737673" w:rsidRDefault="00737673" w:rsidP="00737673">
      <w:pPr>
        <w:pStyle w:val="Frspaier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Specialist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în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problemele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perceperii</w:t>
      </w:r>
      <w:proofErr w:type="spellEnd"/>
      <w:r>
        <w:rPr>
          <w:rFonts w:ascii="Times New Roman" w:hAnsi="Times New Roman" w:cs="Times New Roman"/>
          <w:lang w:val="en-US"/>
        </w:rPr>
        <w:t xml:space="preserve">  fiscal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Mîndrila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Ana           </w:t>
      </w:r>
      <w:r>
        <w:rPr>
          <w:rFonts w:ascii="Times New Roman" w:hAnsi="Times New Roman" w:cs="Times New Roman"/>
          <w:lang w:val="en-US"/>
        </w:rPr>
        <w:t xml:space="preserve">        </w:t>
      </w:r>
    </w:p>
    <w:p w:rsidR="00737673" w:rsidRPr="00A901AB" w:rsidRDefault="00737673" w:rsidP="00737673">
      <w:pPr>
        <w:rPr>
          <w:lang w:val="en-US"/>
        </w:rPr>
      </w:pPr>
    </w:p>
    <w:sectPr w:rsidR="00737673" w:rsidRPr="00A9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006C"/>
    <w:multiLevelType w:val="hybridMultilevel"/>
    <w:tmpl w:val="CFC8C0A8"/>
    <w:lvl w:ilvl="0" w:tplc="0E9238C8">
      <w:start w:val="12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B"/>
    <w:rsid w:val="001736C8"/>
    <w:rsid w:val="001A577A"/>
    <w:rsid w:val="00261689"/>
    <w:rsid w:val="002E731A"/>
    <w:rsid w:val="003945F2"/>
    <w:rsid w:val="00472DDD"/>
    <w:rsid w:val="005A388B"/>
    <w:rsid w:val="00653650"/>
    <w:rsid w:val="006771B5"/>
    <w:rsid w:val="0073130D"/>
    <w:rsid w:val="00737673"/>
    <w:rsid w:val="007D7F15"/>
    <w:rsid w:val="00A6392C"/>
    <w:rsid w:val="00A901AB"/>
    <w:rsid w:val="00BA1472"/>
    <w:rsid w:val="00C04E54"/>
    <w:rsid w:val="00C136A8"/>
    <w:rsid w:val="00CB2BC2"/>
    <w:rsid w:val="00CE142D"/>
    <w:rsid w:val="00DC5432"/>
    <w:rsid w:val="00E77D13"/>
    <w:rsid w:val="00E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AB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901AB"/>
    <w:pPr>
      <w:ind w:left="720"/>
      <w:contextualSpacing/>
    </w:pPr>
  </w:style>
  <w:style w:type="table" w:styleId="GrilTabel">
    <w:name w:val="Table Grid"/>
    <w:basedOn w:val="TabelNormal"/>
    <w:uiPriority w:val="59"/>
    <w:rsid w:val="00A901AB"/>
    <w:pPr>
      <w:spacing w:after="0" w:line="240" w:lineRule="auto"/>
    </w:pPr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spaiereCaracter">
    <w:name w:val="Fără spațiere Caracter"/>
    <w:link w:val="Frspaiere"/>
    <w:uiPriority w:val="1"/>
    <w:locked/>
    <w:rsid w:val="00A901AB"/>
  </w:style>
  <w:style w:type="paragraph" w:styleId="Frspaiere">
    <w:name w:val="No Spacing"/>
    <w:link w:val="FrspaiereCaracter"/>
    <w:uiPriority w:val="1"/>
    <w:qFormat/>
    <w:rsid w:val="00A90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AB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901AB"/>
    <w:pPr>
      <w:ind w:left="720"/>
      <w:contextualSpacing/>
    </w:pPr>
  </w:style>
  <w:style w:type="table" w:styleId="GrilTabel">
    <w:name w:val="Table Grid"/>
    <w:basedOn w:val="TabelNormal"/>
    <w:uiPriority w:val="59"/>
    <w:rsid w:val="00A901AB"/>
    <w:pPr>
      <w:spacing w:after="0" w:line="240" w:lineRule="auto"/>
    </w:pPr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spaiereCaracter">
    <w:name w:val="Fără spațiere Caracter"/>
    <w:link w:val="Frspaiere"/>
    <w:uiPriority w:val="1"/>
    <w:locked/>
    <w:rsid w:val="00A901AB"/>
  </w:style>
  <w:style w:type="paragraph" w:styleId="Frspaiere">
    <w:name w:val="No Spacing"/>
    <w:link w:val="FrspaiereCaracter"/>
    <w:uiPriority w:val="1"/>
    <w:qFormat/>
    <w:rsid w:val="00A90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primarie</cp:lastModifiedBy>
  <cp:revision>2</cp:revision>
  <cp:lastPrinted>2022-11-15T08:28:00Z</cp:lastPrinted>
  <dcterms:created xsi:type="dcterms:W3CDTF">2022-11-15T08:31:00Z</dcterms:created>
  <dcterms:modified xsi:type="dcterms:W3CDTF">2022-11-15T08:31:00Z</dcterms:modified>
</cp:coreProperties>
</file>